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numPr>
          <w:ilvl w:val="0"/>
          <w:numId w:val="0"/>
        </w:numPr>
        <w:jc w:val="both"/>
        <w:rPr>
          <w:rFonts w:asciiTheme="minorEastAsia" w:hAnsiTheme="minorEastAsia" w:eastAsiaTheme="minorEastAsia"/>
          <w:bCs w:val="0"/>
          <w:color w:val="000000" w:themeColor="text1"/>
          <w:sz w:val="36"/>
          <w:szCs w:val="24"/>
          <w14:textFill>
            <w14:solidFill>
              <w14:schemeClr w14:val="tx1"/>
            </w14:solidFill>
          </w14:textFill>
        </w:rPr>
      </w:pPr>
      <w:bookmarkStart w:id="0" w:name="_Toc18353"/>
      <w:bookmarkStart w:id="1" w:name="_Toc61871219"/>
      <w:bookmarkStart w:id="2" w:name="_Toc328381676"/>
      <w:bookmarkStart w:id="3" w:name="_Toc317694228"/>
      <w:r>
        <w:rPr>
          <w:rFonts w:hint="eastAsia" w:asciiTheme="minorEastAsia" w:hAnsiTheme="minorEastAsia" w:eastAsiaTheme="minorEastAsia"/>
          <w:bCs w:val="0"/>
          <w:color w:val="000000" w:themeColor="text1"/>
          <w:sz w:val="36"/>
          <w:szCs w:val="24"/>
          <w14:textFill>
            <w14:solidFill>
              <w14:schemeClr w14:val="tx1"/>
            </w14:solidFill>
          </w14:textFill>
        </w:rPr>
        <w:t>10KV线路及电力设备更换断路器、开关项目招标公告</w:t>
      </w:r>
      <w:bookmarkEnd w:id="0"/>
      <w:bookmarkEnd w:id="1"/>
    </w:p>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10KV线路及电力设备更换断路器、开关项目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物资-2022（内）064</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10KV线路及电力设备更换断路器、开关项目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3.交货期：自中标通知书发出之日起20日内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4.质量标准∶符合国标（详见规范）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lang w:val="en-US" w:eastAsia="zh-CN"/>
        </w:rPr>
        <w:t>5.</w:t>
      </w:r>
      <w:r>
        <w:rPr>
          <w:rFonts w:hint="eastAsia"/>
          <w:color w:val="333333"/>
          <w:sz w:val="24"/>
          <w:szCs w:val="24"/>
        </w:rPr>
        <w:t>采购内</w:t>
      </w:r>
      <w:bookmarkStart w:id="6" w:name="_GoBack"/>
      <w:bookmarkEnd w:id="6"/>
      <w:r>
        <w:rPr>
          <w:rFonts w:hint="eastAsia"/>
          <w:color w:val="333333"/>
          <w:sz w:val="24"/>
          <w:szCs w:val="24"/>
        </w:rPr>
        <w:t>容：</w:t>
      </w:r>
    </w:p>
    <w:tbl>
      <w:tblPr>
        <w:tblStyle w:val="46"/>
        <w:tblpPr w:leftFromText="180" w:rightFromText="180" w:vertAnchor="text" w:horzAnchor="page" w:tblpX="1266" w:tblpY="468"/>
        <w:tblOverlap w:val="never"/>
        <w:tblW w:w="9252" w:type="dxa"/>
        <w:tblInd w:w="0" w:type="dxa"/>
        <w:shd w:val="clear" w:color="auto" w:fill="auto"/>
        <w:tblLayout w:type="fixed"/>
        <w:tblCellMar>
          <w:top w:w="0" w:type="dxa"/>
          <w:left w:w="0" w:type="dxa"/>
          <w:bottom w:w="0" w:type="dxa"/>
          <w:right w:w="0" w:type="dxa"/>
        </w:tblCellMar>
      </w:tblPr>
      <w:tblGrid>
        <w:gridCol w:w="770"/>
        <w:gridCol w:w="1978"/>
        <w:gridCol w:w="3435"/>
        <w:gridCol w:w="855"/>
        <w:gridCol w:w="855"/>
        <w:gridCol w:w="1359"/>
      </w:tblGrid>
      <w:tr>
        <w:tblPrEx>
          <w:shd w:val="clear" w:color="auto" w:fill="auto"/>
          <w:tblCellMar>
            <w:top w:w="0" w:type="dxa"/>
            <w:left w:w="0" w:type="dxa"/>
            <w:bottom w:w="0" w:type="dxa"/>
            <w:right w:w="0" w:type="dxa"/>
          </w:tblCellMar>
        </w:tblPrEx>
        <w:trPr>
          <w:trHeight w:val="6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序号</w:t>
            </w:r>
          </w:p>
        </w:tc>
        <w:tc>
          <w:tcPr>
            <w:tcW w:w="19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货物名称</w:t>
            </w:r>
          </w:p>
        </w:tc>
        <w:tc>
          <w:tcPr>
            <w:tcW w:w="3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规格要求</w:t>
            </w:r>
          </w:p>
        </w:tc>
        <w:tc>
          <w:tcPr>
            <w:tcW w:w="8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35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805" w:hRule="atLeast"/>
        </w:trPr>
        <w:tc>
          <w:tcPr>
            <w:tcW w:w="77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户外SF6断路器</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LW34-40.5/2000A-40kA</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电流互感器LB-35 600/5</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0.2/0.5/10P20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30/40/30VA</w:t>
            </w:r>
          </w:p>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（不含支架）</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曹圩变电所</w:t>
            </w:r>
          </w:p>
        </w:tc>
      </w:tr>
      <w:tr>
        <w:tblPrEx>
          <w:shd w:val="clear" w:color="auto" w:fill="auto"/>
          <w:tblCellMar>
            <w:top w:w="0" w:type="dxa"/>
            <w:left w:w="0" w:type="dxa"/>
            <w:bottom w:w="0" w:type="dxa"/>
            <w:right w:w="0" w:type="dxa"/>
          </w:tblCellMar>
        </w:tblPrEx>
        <w:trPr>
          <w:trHeight w:val="723" w:hRule="atLeast"/>
        </w:trPr>
        <w:tc>
          <w:tcPr>
            <w:tcW w:w="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隔离开关</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GW4-40.5IDW/2000A手动操作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（不含支架）</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780" w:hRule="atLeast"/>
        </w:trPr>
        <w:tc>
          <w:tcPr>
            <w:tcW w:w="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电流互感器</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LB-35 400/5</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0.2/0.5/10P20</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30/40/30VA</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封跳变电所</w:t>
            </w:r>
          </w:p>
        </w:tc>
      </w:tr>
      <w:tr>
        <w:tblPrEx>
          <w:shd w:val="clear" w:color="auto" w:fill="auto"/>
          <w:tblCellMar>
            <w:top w:w="0" w:type="dxa"/>
            <w:left w:w="0" w:type="dxa"/>
            <w:bottom w:w="0" w:type="dxa"/>
            <w:right w:w="0" w:type="dxa"/>
          </w:tblCellMar>
        </w:tblPrEx>
        <w:trPr>
          <w:trHeight w:val="780" w:hRule="atLeast"/>
        </w:trPr>
        <w:tc>
          <w:tcPr>
            <w:tcW w:w="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户外SF6断路器</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LW34-40.5/1250A-31.5kA</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电流互感器LB-35 200/5</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0.2/0.5/10P20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30/40/30VA</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（不含支架）</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890" w:hRule="atLeast"/>
        </w:trPr>
        <w:tc>
          <w:tcPr>
            <w:tcW w:w="77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隔离开关</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GW4-40.5IDW/630A手动操作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（不含支架）</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59"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780" w:hRule="atLeast"/>
        </w:trPr>
        <w:tc>
          <w:tcPr>
            <w:tcW w:w="7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隔离开关</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GW4-40.5IDW/1250A手动操作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（不含支架）</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封跳变电所</w:t>
            </w:r>
          </w:p>
        </w:tc>
      </w:tr>
      <w:tr>
        <w:tblPrEx>
          <w:shd w:val="clear" w:color="auto" w:fill="auto"/>
          <w:tblCellMar>
            <w:top w:w="0" w:type="dxa"/>
            <w:left w:w="0" w:type="dxa"/>
            <w:bottom w:w="0" w:type="dxa"/>
            <w:right w:w="0" w:type="dxa"/>
          </w:tblCellMar>
        </w:tblPrEx>
        <w:trPr>
          <w:trHeight w:val="780" w:hRule="atLeast"/>
        </w:trPr>
        <w:tc>
          <w:tcPr>
            <w:tcW w:w="7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柱上智能真空断路器</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ZW32-12G/T630-20，含支架</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59"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780" w:hRule="atLeast"/>
        </w:trPr>
        <w:tc>
          <w:tcPr>
            <w:tcW w:w="7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户外SF6断路器</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LW34-40.5/2000A-40kA</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电流互感器LB-35 600/5</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0.2/0.5/10P20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30/40/30VA</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（不含支架）</w:t>
            </w:r>
          </w:p>
        </w:tc>
        <w:tc>
          <w:tcPr>
            <w:tcW w:w="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青口变电所</w:t>
            </w:r>
          </w:p>
        </w:tc>
      </w:tr>
      <w:tr>
        <w:tblPrEx>
          <w:tblCellMar>
            <w:top w:w="0" w:type="dxa"/>
            <w:left w:w="0" w:type="dxa"/>
            <w:bottom w:w="0" w:type="dxa"/>
            <w:right w:w="0" w:type="dxa"/>
          </w:tblCellMar>
        </w:tblPrEx>
        <w:trPr>
          <w:trHeight w:val="780" w:hRule="atLeast"/>
        </w:trPr>
        <w:tc>
          <w:tcPr>
            <w:tcW w:w="7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柱上智能真空断路器</w:t>
            </w:r>
          </w:p>
        </w:tc>
        <w:tc>
          <w:tcPr>
            <w:tcW w:w="3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ZW32-12G/T630-20，含支架</w:t>
            </w:r>
          </w:p>
        </w:tc>
        <w:tc>
          <w:tcPr>
            <w:tcW w:w="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lang w:val="en-US" w:eastAsia="zh-CN"/>
        </w:rPr>
        <w:t>6</w:t>
      </w:r>
      <w:r>
        <w:rPr>
          <w:rFonts w:hint="eastAsia"/>
          <w:color w:val="333333"/>
          <w:sz w:val="24"/>
          <w:szCs w:val="24"/>
          <w:lang w:eastAsia="zh-CN"/>
        </w:rPr>
        <w:t>、</w:t>
      </w:r>
      <w:r>
        <w:rPr>
          <w:rFonts w:hint="eastAsia"/>
          <w:color w:val="333333"/>
          <w:sz w:val="24"/>
          <w:szCs w:val="24"/>
        </w:rPr>
        <w:t>最高限价：人民币</w:t>
      </w:r>
      <w:r>
        <w:rPr>
          <w:rFonts w:hint="eastAsia"/>
          <w:color w:val="333333"/>
          <w:sz w:val="24"/>
          <w:szCs w:val="24"/>
          <w:lang w:val="en-US" w:eastAsia="zh-CN"/>
        </w:rPr>
        <w:t>438800.00元</w:t>
      </w:r>
      <w:r>
        <w:rPr>
          <w:rFonts w:hint="eastAsia"/>
          <w:color w:val="333333"/>
          <w:sz w:val="24"/>
          <w:szCs w:val="24"/>
        </w:rPr>
        <w:t>（超出限价视作废标处理）。</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2022年内三个月税收【税款所属日期】和社保缴费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45万元（请提供合同复印件加盖公章，原件备查）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自20</w:t>
      </w:r>
      <w:r>
        <w:rPr>
          <w:rFonts w:hint="eastAsia"/>
          <w:color w:val="333333"/>
          <w:sz w:val="24"/>
          <w:szCs w:val="24"/>
          <w:highlight w:val="none"/>
          <w:lang w:val="en-US" w:eastAsia="zh-CN"/>
        </w:rPr>
        <w:t>22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12</w:t>
      </w:r>
      <w:r>
        <w:rPr>
          <w:rFonts w:hint="eastAsia"/>
          <w:color w:val="333333"/>
          <w:sz w:val="24"/>
          <w:szCs w:val="24"/>
          <w:highlight w:val="none"/>
        </w:rPr>
        <w:t>日至202</w:t>
      </w:r>
      <w:r>
        <w:rPr>
          <w:rFonts w:hint="eastAsia"/>
          <w:color w:val="333333"/>
          <w:sz w:val="24"/>
          <w:szCs w:val="24"/>
          <w:highlight w:val="none"/>
          <w:lang w:val="en-US" w:eastAsia="zh-CN"/>
        </w:rPr>
        <w:t>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17</w:t>
      </w:r>
      <w:r>
        <w:rPr>
          <w:rFonts w:hint="eastAsia"/>
          <w:color w:val="333333"/>
          <w:sz w:val="24"/>
          <w:szCs w:val="24"/>
          <w:highlight w:val="none"/>
        </w:rPr>
        <w:t>日17时00分，请投标人将企业营业执照、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1、截止时间为：2022年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22</w:t>
      </w:r>
      <w:r>
        <w:rPr>
          <w:rFonts w:hint="eastAsia"/>
          <w:color w:val="333333"/>
          <w:sz w:val="24"/>
          <w:szCs w:val="24"/>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地址：江苏省连云港市高新区花果山大道109号广电影视城十二楼1215资产部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w:t>
      </w:r>
      <w:r>
        <w:rPr>
          <w:rFonts w:hint="eastAsia" w:cs="Times New Roman"/>
          <w:color w:val="333333"/>
          <w:kern w:val="2"/>
          <w:sz w:val="24"/>
          <w:szCs w:val="24"/>
          <w:lang w:val="en-US" w:eastAsia="zh-CN" w:bidi="ar-SA"/>
        </w:rPr>
        <w:t>采用经评审的合理低价法。</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05</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eastAsia="zh-CN"/>
        </w:rPr>
        <w:t>捌仟陆佰元整</w:t>
      </w:r>
      <w:r>
        <w:rPr>
          <w:rFonts w:hint="eastAsia"/>
          <w:color w:val="333333"/>
          <w:sz w:val="24"/>
          <w:szCs w:val="24"/>
        </w:rPr>
        <w:t>（￥</w:t>
      </w:r>
      <w:r>
        <w:rPr>
          <w:rFonts w:hint="eastAsia"/>
          <w:color w:val="333333"/>
          <w:sz w:val="24"/>
          <w:szCs w:val="24"/>
          <w:lang w:val="en-US" w:eastAsia="zh-CN"/>
        </w:rPr>
        <w:t>8600.00</w:t>
      </w:r>
      <w:r>
        <w:rPr>
          <w:rFonts w:hint="eastAsia"/>
          <w:color w:val="333333"/>
          <w:sz w:val="24"/>
          <w:szCs w:val="24"/>
        </w:rPr>
        <w:t>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：张雷海</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19901537132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p>
    <w:p>
      <w:pPr>
        <w:jc w:val="center"/>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pPr>
        <w:jc w:val="center"/>
        <w:rPr>
          <w:color w:val="333333"/>
          <w:sz w:val="24"/>
          <w:szCs w:val="24"/>
        </w:rPr>
      </w:pPr>
    </w:p>
    <w:p>
      <w:pPr>
        <w:jc w:val="center"/>
        <w:rPr>
          <w:b/>
          <w:color w:val="333333"/>
          <w:sz w:val="24"/>
          <w:szCs w:val="24"/>
        </w:rPr>
      </w:pPr>
      <w:r>
        <w:rPr>
          <w:rFonts w:hint="eastAsia"/>
          <w:color w:val="333333"/>
          <w:sz w:val="24"/>
          <w:szCs w:val="24"/>
          <w:lang w:val="en-US" w:eastAsia="zh-CN"/>
        </w:rPr>
        <w:t xml:space="preserve">                                 </w:t>
      </w:r>
      <w:r>
        <w:rPr>
          <w:rFonts w:hint="eastAsia"/>
          <w:color w:val="333333"/>
          <w:sz w:val="24"/>
          <w:szCs w:val="24"/>
        </w:rPr>
        <w:t>20</w:t>
      </w:r>
      <w:r>
        <w:rPr>
          <w:rFonts w:hint="eastAsia"/>
          <w:color w:val="333333"/>
          <w:sz w:val="24"/>
          <w:szCs w:val="24"/>
          <w:lang w:val="en-US" w:eastAsia="zh-CN"/>
        </w:rPr>
        <w:t>22</w:t>
      </w:r>
      <w:r>
        <w:rPr>
          <w:rFonts w:hint="eastAsia"/>
          <w:color w:val="333333"/>
          <w:sz w:val="24"/>
          <w:szCs w:val="24"/>
        </w:rPr>
        <w:t>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13</w:t>
      </w:r>
      <w:r>
        <w:rPr>
          <w:rFonts w:hint="eastAsia"/>
          <w:color w:val="333333"/>
          <w:sz w:val="24"/>
          <w:szCs w:val="24"/>
        </w:rPr>
        <w:t>日</w:t>
      </w:r>
    </w:p>
    <w:p>
      <w:pPr>
        <w:tabs>
          <w:tab w:val="center" w:pos="4153"/>
          <w:tab w:val="right" w:pos="13046"/>
        </w:tabs>
        <w:jc w:val="left"/>
        <w:rPr>
          <w:rFonts w:hint="eastAsia" w:asciiTheme="minorEastAsia" w:hAnsiTheme="minorEastAsia" w:eastAsiaTheme="minorEastAsia"/>
          <w:color w:val="000000" w:themeColor="text1"/>
          <w:sz w:val="36"/>
          <w:szCs w:val="24"/>
          <w14:textFill>
            <w14:solidFill>
              <w14:schemeClr w14:val="tx1"/>
            </w14:solidFill>
          </w14:textFill>
        </w:rPr>
      </w:pPr>
      <w:r>
        <w:rPr>
          <w:rFonts w:hint="eastAsia"/>
          <w:color w:val="333333"/>
          <w:sz w:val="24"/>
          <w:szCs w:val="24"/>
          <w:lang w:eastAsia="zh-CN"/>
        </w:rPr>
        <w:tab/>
      </w:r>
      <w:r>
        <w:rPr>
          <w:rFonts w:hint="eastAsia"/>
          <w:color w:val="333333"/>
          <w:sz w:val="24"/>
          <w:szCs w:val="24"/>
        </w:rPr>
        <w:t>                           </w:t>
      </w:r>
      <w:bookmarkStart w:id="4" w:name="_Toc22853"/>
      <w:bookmarkStart w:id="5" w:name="_Toc61871270"/>
    </w:p>
    <w:p>
      <w:pPr>
        <w:pStyle w:val="2"/>
        <w:ind w:left="283" w:leftChars="135"/>
        <w:jc w:val="center"/>
        <w:rPr>
          <w:rFonts w:hint="eastAsia" w:asciiTheme="minorEastAsia" w:hAnsiTheme="minorEastAsia" w:eastAsiaTheme="minorEastAsia"/>
          <w:color w:val="000000" w:themeColor="text1"/>
          <w:sz w:val="36"/>
          <w:szCs w:val="24"/>
          <w14:textFill>
            <w14:solidFill>
              <w14:schemeClr w14:val="tx1"/>
            </w14:solidFill>
          </w14:textFill>
        </w:rPr>
      </w:pPr>
    </w:p>
    <w:p>
      <w:pPr>
        <w:pStyle w:val="2"/>
        <w:ind w:left="283" w:leftChars="135"/>
        <w:jc w:val="center"/>
        <w:rPr>
          <w:rFonts w:hint="eastAsia" w:asciiTheme="minorEastAsia" w:hAnsiTheme="minorEastAsia" w:eastAsiaTheme="minorEastAsia"/>
          <w:color w:val="000000" w:themeColor="text1"/>
          <w:sz w:val="36"/>
          <w:szCs w:val="24"/>
          <w14:textFill>
            <w14:solidFill>
              <w14:schemeClr w14:val="tx1"/>
            </w14:solidFill>
          </w14:textFill>
        </w:rPr>
      </w:pPr>
    </w:p>
    <w:p>
      <w:pPr>
        <w:pStyle w:val="2"/>
        <w:ind w:left="283" w:leftChars="135"/>
        <w:jc w:val="center"/>
        <w:rPr>
          <w:rFonts w:hint="eastAsia" w:asciiTheme="minorEastAsia" w:hAnsiTheme="minorEastAsia" w:eastAsiaTheme="minorEastAsia"/>
          <w:color w:val="000000" w:themeColor="text1"/>
          <w:sz w:val="36"/>
          <w:szCs w:val="24"/>
          <w14:textFill>
            <w14:solidFill>
              <w14:schemeClr w14:val="tx1"/>
            </w14:solidFill>
          </w14:textFill>
        </w:rPr>
      </w:pPr>
    </w:p>
    <w:p>
      <w:pPr>
        <w:pStyle w:val="2"/>
        <w:ind w:left="283" w:leftChars="135"/>
        <w:jc w:val="center"/>
        <w:rPr>
          <w:rFonts w:hint="eastAsia" w:asciiTheme="minorEastAsia" w:hAnsiTheme="minorEastAsia" w:eastAsiaTheme="minorEastAsia"/>
          <w:color w:val="000000" w:themeColor="text1"/>
          <w:sz w:val="36"/>
          <w:szCs w:val="24"/>
          <w14:textFill>
            <w14:solidFill>
              <w14:schemeClr w14:val="tx1"/>
            </w14:solidFill>
          </w14:textFill>
        </w:rPr>
      </w:pPr>
    </w:p>
    <w:p>
      <w:pPr>
        <w:pStyle w:val="2"/>
        <w:ind w:left="283" w:leftChars="135"/>
        <w:jc w:val="center"/>
        <w:rPr>
          <w:rFonts w:hint="eastAsia" w:asciiTheme="minorEastAsia" w:hAnsiTheme="minorEastAsia" w:eastAsiaTheme="minorEastAsia"/>
          <w:color w:val="000000" w:themeColor="text1"/>
          <w:sz w:val="36"/>
          <w:szCs w:val="24"/>
          <w14:textFill>
            <w14:solidFill>
              <w14:schemeClr w14:val="tx1"/>
            </w14:solidFill>
          </w14:textFill>
        </w:rPr>
      </w:pPr>
    </w:p>
    <w:p>
      <w:pPr>
        <w:rPr>
          <w:rFonts w:hint="eastAsia" w:asciiTheme="minorEastAsia" w:hAnsiTheme="minorEastAsia" w:eastAsiaTheme="minorEastAsia"/>
          <w:color w:val="000000" w:themeColor="text1"/>
          <w:sz w:val="36"/>
          <w:szCs w:val="24"/>
          <w14:textFill>
            <w14:solidFill>
              <w14:schemeClr w14:val="tx1"/>
            </w14:solidFill>
          </w14:textFill>
        </w:rPr>
      </w:pPr>
    </w:p>
    <w:p>
      <w:pPr>
        <w:rPr>
          <w:rFonts w:hint="eastAsia" w:asciiTheme="minorEastAsia" w:hAnsiTheme="minorEastAsia" w:eastAsiaTheme="minorEastAsia"/>
          <w:color w:val="000000" w:themeColor="text1"/>
          <w:sz w:val="36"/>
          <w:szCs w:val="24"/>
          <w14:textFill>
            <w14:solidFill>
              <w14:schemeClr w14:val="tx1"/>
            </w14:solidFill>
          </w14:textFill>
        </w:rPr>
      </w:pPr>
    </w:p>
    <w:bookmarkEnd w:id="2"/>
    <w:bookmarkEnd w:id="3"/>
    <w:bookmarkEnd w:id="4"/>
    <w:bookmarkEnd w:id="5"/>
    <w:p>
      <w:pPr>
        <w:widowControl/>
        <w:adjustRightInd w:val="0"/>
        <w:snapToGrid w:val="0"/>
        <w:spacing w:line="360" w:lineRule="auto"/>
        <w:jc w:val="both"/>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_GBK">
    <w:altName w:val="宋体"/>
    <w:panose1 w:val="00000000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DIwODVlYzIzMTkzZjY0MWZmYmE4ZDNiMzgwZT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5DA6"/>
    <w:rsid w:val="003B0FEA"/>
    <w:rsid w:val="003C0225"/>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6B9B"/>
    <w:rsid w:val="00937045"/>
    <w:rsid w:val="00940108"/>
    <w:rsid w:val="00943D72"/>
    <w:rsid w:val="00947312"/>
    <w:rsid w:val="00947768"/>
    <w:rsid w:val="0095183B"/>
    <w:rsid w:val="00953F2D"/>
    <w:rsid w:val="0096224B"/>
    <w:rsid w:val="00962594"/>
    <w:rsid w:val="00962A53"/>
    <w:rsid w:val="00962C57"/>
    <w:rsid w:val="00964DB7"/>
    <w:rsid w:val="00967991"/>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47DD"/>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4029"/>
    <w:rsid w:val="00A65944"/>
    <w:rsid w:val="00A661B4"/>
    <w:rsid w:val="00A66726"/>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502A8"/>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E4A06"/>
    <w:rsid w:val="00FF164D"/>
    <w:rsid w:val="00FF18FF"/>
    <w:rsid w:val="00FF3433"/>
    <w:rsid w:val="00FF661A"/>
    <w:rsid w:val="010827F0"/>
    <w:rsid w:val="011C21B2"/>
    <w:rsid w:val="02352D6E"/>
    <w:rsid w:val="02475DC4"/>
    <w:rsid w:val="028D041F"/>
    <w:rsid w:val="029141B7"/>
    <w:rsid w:val="031E2113"/>
    <w:rsid w:val="03F82F65"/>
    <w:rsid w:val="040A4C82"/>
    <w:rsid w:val="048C7B3D"/>
    <w:rsid w:val="04B14F1D"/>
    <w:rsid w:val="05112E14"/>
    <w:rsid w:val="05185F4A"/>
    <w:rsid w:val="052E4366"/>
    <w:rsid w:val="055C735A"/>
    <w:rsid w:val="067F10B5"/>
    <w:rsid w:val="068B46AE"/>
    <w:rsid w:val="07501086"/>
    <w:rsid w:val="07EF6488"/>
    <w:rsid w:val="08131F7B"/>
    <w:rsid w:val="081C67D8"/>
    <w:rsid w:val="08AC12E1"/>
    <w:rsid w:val="08D11C33"/>
    <w:rsid w:val="08FF6652"/>
    <w:rsid w:val="090F6CB6"/>
    <w:rsid w:val="097008C6"/>
    <w:rsid w:val="097D2E1D"/>
    <w:rsid w:val="09E0668C"/>
    <w:rsid w:val="09F41681"/>
    <w:rsid w:val="09FD72EC"/>
    <w:rsid w:val="0A2153AA"/>
    <w:rsid w:val="0A7B1831"/>
    <w:rsid w:val="0ACB1853"/>
    <w:rsid w:val="0ACF12E7"/>
    <w:rsid w:val="0AD3162D"/>
    <w:rsid w:val="0CA36DFA"/>
    <w:rsid w:val="0CB53A09"/>
    <w:rsid w:val="0CBA03AD"/>
    <w:rsid w:val="0DEC762A"/>
    <w:rsid w:val="0E49480A"/>
    <w:rsid w:val="0EBC0B57"/>
    <w:rsid w:val="0ED41982"/>
    <w:rsid w:val="0EE10FAA"/>
    <w:rsid w:val="0F1571C7"/>
    <w:rsid w:val="0F24110D"/>
    <w:rsid w:val="0FA3767A"/>
    <w:rsid w:val="0FCF4C2E"/>
    <w:rsid w:val="106A75AE"/>
    <w:rsid w:val="109D59B3"/>
    <w:rsid w:val="11A24AC2"/>
    <w:rsid w:val="11FD7271"/>
    <w:rsid w:val="12BE2F03"/>
    <w:rsid w:val="12ED098D"/>
    <w:rsid w:val="13343228"/>
    <w:rsid w:val="1419690F"/>
    <w:rsid w:val="14251F5F"/>
    <w:rsid w:val="146E2A44"/>
    <w:rsid w:val="14851B53"/>
    <w:rsid w:val="151D3749"/>
    <w:rsid w:val="15372490"/>
    <w:rsid w:val="155D07C9"/>
    <w:rsid w:val="15C32D88"/>
    <w:rsid w:val="16376CE5"/>
    <w:rsid w:val="16416901"/>
    <w:rsid w:val="16B9485E"/>
    <w:rsid w:val="16D43056"/>
    <w:rsid w:val="16F94C2D"/>
    <w:rsid w:val="175843EA"/>
    <w:rsid w:val="176E0353"/>
    <w:rsid w:val="1775480E"/>
    <w:rsid w:val="18402EE2"/>
    <w:rsid w:val="184609F7"/>
    <w:rsid w:val="185C033C"/>
    <w:rsid w:val="18FB4166"/>
    <w:rsid w:val="19B277F3"/>
    <w:rsid w:val="19F60C55"/>
    <w:rsid w:val="1A5D1083"/>
    <w:rsid w:val="1A8C247B"/>
    <w:rsid w:val="1ACB28DC"/>
    <w:rsid w:val="1AF35E37"/>
    <w:rsid w:val="1AFE5D99"/>
    <w:rsid w:val="1B2401C2"/>
    <w:rsid w:val="1BEE73F8"/>
    <w:rsid w:val="1C040DB8"/>
    <w:rsid w:val="1C081DE6"/>
    <w:rsid w:val="1C305283"/>
    <w:rsid w:val="1C4A2889"/>
    <w:rsid w:val="1C6B4721"/>
    <w:rsid w:val="1C7758BC"/>
    <w:rsid w:val="1CAB6395"/>
    <w:rsid w:val="1D014845"/>
    <w:rsid w:val="1D125B8F"/>
    <w:rsid w:val="1E0C313A"/>
    <w:rsid w:val="1ECE6A47"/>
    <w:rsid w:val="1F4D2DCA"/>
    <w:rsid w:val="1F4F23DC"/>
    <w:rsid w:val="1F793A13"/>
    <w:rsid w:val="1F88605A"/>
    <w:rsid w:val="1FCC6C14"/>
    <w:rsid w:val="1FD53E6A"/>
    <w:rsid w:val="20487527"/>
    <w:rsid w:val="20A460A0"/>
    <w:rsid w:val="20AF0EB8"/>
    <w:rsid w:val="213D2C2E"/>
    <w:rsid w:val="215C6F6C"/>
    <w:rsid w:val="2186209E"/>
    <w:rsid w:val="224E0A57"/>
    <w:rsid w:val="22E00317"/>
    <w:rsid w:val="230A3D9D"/>
    <w:rsid w:val="23120E58"/>
    <w:rsid w:val="248F1BD6"/>
    <w:rsid w:val="24EE1F21"/>
    <w:rsid w:val="25BF2E43"/>
    <w:rsid w:val="25CD52D5"/>
    <w:rsid w:val="261125CC"/>
    <w:rsid w:val="263E6FE5"/>
    <w:rsid w:val="26642700"/>
    <w:rsid w:val="26AE3C71"/>
    <w:rsid w:val="26F44DAC"/>
    <w:rsid w:val="27231E8B"/>
    <w:rsid w:val="272615E4"/>
    <w:rsid w:val="272A0EB4"/>
    <w:rsid w:val="272F7D1F"/>
    <w:rsid w:val="27637391"/>
    <w:rsid w:val="278D7EFC"/>
    <w:rsid w:val="281C2F85"/>
    <w:rsid w:val="29451F54"/>
    <w:rsid w:val="29F827AB"/>
    <w:rsid w:val="2A3224D8"/>
    <w:rsid w:val="2A390753"/>
    <w:rsid w:val="2A6A2E88"/>
    <w:rsid w:val="2B315FB0"/>
    <w:rsid w:val="2C2B4127"/>
    <w:rsid w:val="2C2F64A2"/>
    <w:rsid w:val="2C946058"/>
    <w:rsid w:val="2C992EDE"/>
    <w:rsid w:val="2DC0734A"/>
    <w:rsid w:val="2DCD0488"/>
    <w:rsid w:val="2DE564C4"/>
    <w:rsid w:val="2DEB53EF"/>
    <w:rsid w:val="2E13519A"/>
    <w:rsid w:val="2E7E6EA5"/>
    <w:rsid w:val="2EC508FF"/>
    <w:rsid w:val="2F0B2F55"/>
    <w:rsid w:val="2F806DA0"/>
    <w:rsid w:val="2FDC49AF"/>
    <w:rsid w:val="301B1DA4"/>
    <w:rsid w:val="307B5211"/>
    <w:rsid w:val="309C0BB7"/>
    <w:rsid w:val="30A216E4"/>
    <w:rsid w:val="30C059AE"/>
    <w:rsid w:val="314F1EF5"/>
    <w:rsid w:val="31B70EAD"/>
    <w:rsid w:val="31D0306C"/>
    <w:rsid w:val="320500A9"/>
    <w:rsid w:val="325057C0"/>
    <w:rsid w:val="337316AD"/>
    <w:rsid w:val="33E90C23"/>
    <w:rsid w:val="33FD11F1"/>
    <w:rsid w:val="34001BB9"/>
    <w:rsid w:val="341F1765"/>
    <w:rsid w:val="343C3BB9"/>
    <w:rsid w:val="34B30FE5"/>
    <w:rsid w:val="34C0376D"/>
    <w:rsid w:val="34D2441F"/>
    <w:rsid w:val="34E46AC5"/>
    <w:rsid w:val="353F2F76"/>
    <w:rsid w:val="35907C3F"/>
    <w:rsid w:val="363921E0"/>
    <w:rsid w:val="368F50C6"/>
    <w:rsid w:val="369A27EC"/>
    <w:rsid w:val="36B23EE3"/>
    <w:rsid w:val="36E44B5A"/>
    <w:rsid w:val="370C6381"/>
    <w:rsid w:val="373036ED"/>
    <w:rsid w:val="3918221F"/>
    <w:rsid w:val="39766F1B"/>
    <w:rsid w:val="39B73AFA"/>
    <w:rsid w:val="39EA336A"/>
    <w:rsid w:val="3A142DEB"/>
    <w:rsid w:val="3A916DA7"/>
    <w:rsid w:val="3AC32FDE"/>
    <w:rsid w:val="3B3C012A"/>
    <w:rsid w:val="3B6536E0"/>
    <w:rsid w:val="3B6B7A91"/>
    <w:rsid w:val="3B820DE6"/>
    <w:rsid w:val="3CC473A9"/>
    <w:rsid w:val="3CC86CCC"/>
    <w:rsid w:val="3D2E5440"/>
    <w:rsid w:val="3D5C3F89"/>
    <w:rsid w:val="3DAA456A"/>
    <w:rsid w:val="3DFD6C4B"/>
    <w:rsid w:val="3EB03066"/>
    <w:rsid w:val="3EC13008"/>
    <w:rsid w:val="3F1A34BA"/>
    <w:rsid w:val="3F4A1C1A"/>
    <w:rsid w:val="3F607E80"/>
    <w:rsid w:val="3FB7787C"/>
    <w:rsid w:val="40033001"/>
    <w:rsid w:val="404E48D4"/>
    <w:rsid w:val="40603B42"/>
    <w:rsid w:val="409F065F"/>
    <w:rsid w:val="40C673A6"/>
    <w:rsid w:val="413C0E55"/>
    <w:rsid w:val="41A66AE5"/>
    <w:rsid w:val="41EC1013"/>
    <w:rsid w:val="427F77C4"/>
    <w:rsid w:val="42BE6995"/>
    <w:rsid w:val="42C86BA4"/>
    <w:rsid w:val="44284985"/>
    <w:rsid w:val="44881396"/>
    <w:rsid w:val="449C6088"/>
    <w:rsid w:val="44C42241"/>
    <w:rsid w:val="44F63BD9"/>
    <w:rsid w:val="450914B4"/>
    <w:rsid w:val="45BE7313"/>
    <w:rsid w:val="45DA2BC2"/>
    <w:rsid w:val="46413C1F"/>
    <w:rsid w:val="46420B2C"/>
    <w:rsid w:val="46514A60"/>
    <w:rsid w:val="47413903"/>
    <w:rsid w:val="47DB028A"/>
    <w:rsid w:val="483F7269"/>
    <w:rsid w:val="48670495"/>
    <w:rsid w:val="486C1705"/>
    <w:rsid w:val="48AC69AA"/>
    <w:rsid w:val="48B20DCC"/>
    <w:rsid w:val="48CC4CBC"/>
    <w:rsid w:val="48DD3AFF"/>
    <w:rsid w:val="48DF6B89"/>
    <w:rsid w:val="499F0DBC"/>
    <w:rsid w:val="4A5E1DF3"/>
    <w:rsid w:val="4A98240A"/>
    <w:rsid w:val="4ABA29FA"/>
    <w:rsid w:val="4AE473C8"/>
    <w:rsid w:val="4B5350EE"/>
    <w:rsid w:val="4BF56241"/>
    <w:rsid w:val="4C285091"/>
    <w:rsid w:val="4C2A35FF"/>
    <w:rsid w:val="4C7D2FBA"/>
    <w:rsid w:val="4C813F92"/>
    <w:rsid w:val="4CC71734"/>
    <w:rsid w:val="4D884849"/>
    <w:rsid w:val="4DCE40EF"/>
    <w:rsid w:val="4E2E24DB"/>
    <w:rsid w:val="4EE32755"/>
    <w:rsid w:val="4F2B2666"/>
    <w:rsid w:val="4F310701"/>
    <w:rsid w:val="511650D7"/>
    <w:rsid w:val="5134269F"/>
    <w:rsid w:val="51D650E4"/>
    <w:rsid w:val="52930898"/>
    <w:rsid w:val="535D1AC5"/>
    <w:rsid w:val="536F05A6"/>
    <w:rsid w:val="53B74F5C"/>
    <w:rsid w:val="53CE4ACE"/>
    <w:rsid w:val="53D97E22"/>
    <w:rsid w:val="54543ED7"/>
    <w:rsid w:val="546F66E7"/>
    <w:rsid w:val="567346C4"/>
    <w:rsid w:val="56833DCD"/>
    <w:rsid w:val="56A220B2"/>
    <w:rsid w:val="56AB538A"/>
    <w:rsid w:val="56D1536B"/>
    <w:rsid w:val="57064221"/>
    <w:rsid w:val="571922B9"/>
    <w:rsid w:val="57832A37"/>
    <w:rsid w:val="582468F5"/>
    <w:rsid w:val="58F84FF0"/>
    <w:rsid w:val="59274F81"/>
    <w:rsid w:val="593323DA"/>
    <w:rsid w:val="594D7E28"/>
    <w:rsid w:val="5966042E"/>
    <w:rsid w:val="5B5C2542"/>
    <w:rsid w:val="5BF43826"/>
    <w:rsid w:val="5C5A7574"/>
    <w:rsid w:val="5D155CFD"/>
    <w:rsid w:val="5D837AF2"/>
    <w:rsid w:val="5DFE7D26"/>
    <w:rsid w:val="5EDA07E9"/>
    <w:rsid w:val="5EEE2EB4"/>
    <w:rsid w:val="5EF57055"/>
    <w:rsid w:val="5F826B63"/>
    <w:rsid w:val="5FBE5823"/>
    <w:rsid w:val="5FE37DB2"/>
    <w:rsid w:val="5FEB2EA3"/>
    <w:rsid w:val="601519E5"/>
    <w:rsid w:val="604E4ED6"/>
    <w:rsid w:val="60895E23"/>
    <w:rsid w:val="60E14F0D"/>
    <w:rsid w:val="61AD6D53"/>
    <w:rsid w:val="61F847F2"/>
    <w:rsid w:val="62096D95"/>
    <w:rsid w:val="62583FEA"/>
    <w:rsid w:val="633D0200"/>
    <w:rsid w:val="635C5B81"/>
    <w:rsid w:val="636A68BF"/>
    <w:rsid w:val="639F215A"/>
    <w:rsid w:val="63CA2FCC"/>
    <w:rsid w:val="63F175FC"/>
    <w:rsid w:val="640A77C8"/>
    <w:rsid w:val="641A4AB5"/>
    <w:rsid w:val="6448079A"/>
    <w:rsid w:val="644A7434"/>
    <w:rsid w:val="64520AA6"/>
    <w:rsid w:val="647E7AED"/>
    <w:rsid w:val="649B3ED4"/>
    <w:rsid w:val="64FC71E3"/>
    <w:rsid w:val="652C2272"/>
    <w:rsid w:val="65893482"/>
    <w:rsid w:val="660B74A0"/>
    <w:rsid w:val="66970905"/>
    <w:rsid w:val="66BF41E1"/>
    <w:rsid w:val="672B2597"/>
    <w:rsid w:val="67367A87"/>
    <w:rsid w:val="675E1A9D"/>
    <w:rsid w:val="67BA48A4"/>
    <w:rsid w:val="68193CA1"/>
    <w:rsid w:val="69456E2B"/>
    <w:rsid w:val="6A0E42F6"/>
    <w:rsid w:val="6A8108E7"/>
    <w:rsid w:val="6B101052"/>
    <w:rsid w:val="6B197AF0"/>
    <w:rsid w:val="6B3948A2"/>
    <w:rsid w:val="6B4A2DD8"/>
    <w:rsid w:val="6B923E7E"/>
    <w:rsid w:val="6BDA534F"/>
    <w:rsid w:val="6BEE01B8"/>
    <w:rsid w:val="6C4D048F"/>
    <w:rsid w:val="6D0E4290"/>
    <w:rsid w:val="6D4439EA"/>
    <w:rsid w:val="6D4E1A0A"/>
    <w:rsid w:val="6D5B5E23"/>
    <w:rsid w:val="6E0077C5"/>
    <w:rsid w:val="6E9028F6"/>
    <w:rsid w:val="6ED711D7"/>
    <w:rsid w:val="6EE669BA"/>
    <w:rsid w:val="6F154369"/>
    <w:rsid w:val="6F5222A2"/>
    <w:rsid w:val="6F8C00FD"/>
    <w:rsid w:val="6FC01244"/>
    <w:rsid w:val="6FFC6A48"/>
    <w:rsid w:val="703A75A8"/>
    <w:rsid w:val="70BB1EC0"/>
    <w:rsid w:val="720155A7"/>
    <w:rsid w:val="72B15FF8"/>
    <w:rsid w:val="73291C18"/>
    <w:rsid w:val="735D4687"/>
    <w:rsid w:val="736753A2"/>
    <w:rsid w:val="737A3B75"/>
    <w:rsid w:val="73BC0E6D"/>
    <w:rsid w:val="74232B4A"/>
    <w:rsid w:val="74880BC2"/>
    <w:rsid w:val="750A24A6"/>
    <w:rsid w:val="75276465"/>
    <w:rsid w:val="76236746"/>
    <w:rsid w:val="76BC69ED"/>
    <w:rsid w:val="76E60869"/>
    <w:rsid w:val="77620854"/>
    <w:rsid w:val="777E6738"/>
    <w:rsid w:val="778E7280"/>
    <w:rsid w:val="78927A28"/>
    <w:rsid w:val="78AD5D40"/>
    <w:rsid w:val="7A777B33"/>
    <w:rsid w:val="7AAB73F6"/>
    <w:rsid w:val="7AEE130F"/>
    <w:rsid w:val="7BA063DE"/>
    <w:rsid w:val="7C64055E"/>
    <w:rsid w:val="7C8B3776"/>
    <w:rsid w:val="7CB95E6B"/>
    <w:rsid w:val="7CC2063E"/>
    <w:rsid w:val="7D477461"/>
    <w:rsid w:val="7D5A0D62"/>
    <w:rsid w:val="7DCB4706"/>
    <w:rsid w:val="7DFA50E4"/>
    <w:rsid w:val="7E197E3F"/>
    <w:rsid w:val="7E655A11"/>
    <w:rsid w:val="7EBE458D"/>
    <w:rsid w:val="7ED22AB7"/>
    <w:rsid w:val="7F8C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117"/>
    <w:qFormat/>
    <w:uiPriority w:val="0"/>
    <w:pPr>
      <w:ind w:firstLine="420" w:firstLineChars="200"/>
    </w:pPr>
    <w:rPr>
      <w:rFonts w:ascii="Calibri" w:hAnsi="Calibri"/>
      <w:szCs w:val="24"/>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35"/>
    <w:unhideWhenUsed/>
    <w:qFormat/>
    <w:uiPriority w:val="0"/>
    <w:pPr>
      <w:shd w:val="clear" w:color="auto" w:fill="000080"/>
    </w:pPr>
  </w:style>
  <w:style w:type="paragraph" w:styleId="15">
    <w:name w:val="annotation text"/>
    <w:basedOn w:val="1"/>
    <w:link w:val="100"/>
    <w:unhideWhenUsed/>
    <w:qFormat/>
    <w:uiPriority w:val="0"/>
    <w:pPr>
      <w:jc w:val="left"/>
    </w:pPr>
    <w:rPr>
      <w:rFonts w:ascii="Calibri" w:hAnsi="Calibri"/>
      <w:kern w:val="0"/>
      <w:sz w:val="20"/>
    </w:rPr>
  </w:style>
  <w:style w:type="paragraph" w:styleId="16">
    <w:name w:val="Body Text 3"/>
    <w:basedOn w:val="1"/>
    <w:link w:val="153"/>
    <w:unhideWhenUsed/>
    <w:qFormat/>
    <w:uiPriority w:val="0"/>
    <w:pPr>
      <w:spacing w:after="120"/>
    </w:pPr>
    <w:rPr>
      <w:rFonts w:ascii="Calibri" w:hAnsi="Calibri"/>
      <w:kern w:val="0"/>
      <w:sz w:val="16"/>
      <w:szCs w:val="16"/>
    </w:rPr>
  </w:style>
  <w:style w:type="paragraph" w:styleId="17">
    <w:name w:val="Body Text"/>
    <w:basedOn w:val="1"/>
    <w:link w:val="59"/>
    <w:unhideWhenUsed/>
    <w:qFormat/>
    <w:uiPriority w:val="0"/>
    <w:pPr>
      <w:spacing w:after="120"/>
    </w:pPr>
  </w:style>
  <w:style w:type="paragraph" w:styleId="18">
    <w:name w:val="Body Text Indent"/>
    <w:basedOn w:val="1"/>
    <w:link w:val="127"/>
    <w:unhideWhenUsed/>
    <w:qFormat/>
    <w:uiPriority w:val="0"/>
    <w:pPr>
      <w:spacing w:after="120"/>
      <w:ind w:left="420" w:leftChars="200"/>
    </w:pPr>
    <w:rPr>
      <w:kern w:val="0"/>
      <w:sz w:val="20"/>
      <w:szCs w:val="24"/>
    </w:rPr>
  </w:style>
  <w:style w:type="paragraph" w:styleId="19">
    <w:name w:val="List 2"/>
    <w:basedOn w:val="1"/>
    <w:qFormat/>
    <w:uiPriority w:val="0"/>
    <w:pPr>
      <w:ind w:left="100" w:leftChars="200" w:hanging="200" w:hangingChars="200"/>
    </w:pPr>
    <w:rPr>
      <w:szCs w:val="24"/>
    </w:r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qFormat/>
    <w:uiPriority w:val="0"/>
    <w:pPr>
      <w:ind w:left="600" w:leftChars="600"/>
    </w:pPr>
    <w:rPr>
      <w:szCs w:val="24"/>
    </w:rPr>
  </w:style>
  <w:style w:type="paragraph" w:styleId="22">
    <w:name w:val="toc 3"/>
    <w:basedOn w:val="1"/>
    <w:next w:val="1"/>
    <w:unhideWhenUsed/>
    <w:qFormat/>
    <w:uiPriority w:val="39"/>
    <w:pPr>
      <w:ind w:left="840" w:leftChars="400"/>
    </w:pPr>
  </w:style>
  <w:style w:type="paragraph" w:styleId="23">
    <w:name w:val="Plain Text"/>
    <w:basedOn w:val="1"/>
    <w:link w:val="76"/>
    <w:unhideWhenUsed/>
    <w:qFormat/>
    <w:uiPriority w:val="0"/>
    <w:pPr>
      <w:spacing w:line="300" w:lineRule="auto"/>
    </w:pPr>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1"/>
    <w:unhideWhenUsed/>
    <w:qFormat/>
    <w:uiPriority w:val="0"/>
    <w:pPr>
      <w:ind w:left="100" w:leftChars="2500"/>
    </w:pPr>
    <w:rPr>
      <w:szCs w:val="22"/>
    </w:rPr>
  </w:style>
  <w:style w:type="paragraph" w:styleId="26">
    <w:name w:val="Body Text Indent 2"/>
    <w:basedOn w:val="1"/>
    <w:link w:val="82"/>
    <w:qFormat/>
    <w:uiPriority w:val="0"/>
    <w:pPr>
      <w:spacing w:after="120" w:line="480" w:lineRule="auto"/>
      <w:ind w:left="420" w:leftChars="200"/>
    </w:pPr>
    <w:rPr>
      <w:szCs w:val="24"/>
    </w:rPr>
  </w:style>
  <w:style w:type="paragraph" w:styleId="27">
    <w:name w:val="Balloon Text"/>
    <w:basedOn w:val="1"/>
    <w:link w:val="81"/>
    <w:unhideWhenUsed/>
    <w:qFormat/>
    <w:uiPriority w:val="0"/>
    <w:rPr>
      <w:rFonts w:ascii="Calibri" w:hAnsi="Calibri"/>
      <w:kern w:val="0"/>
      <w:sz w:val="18"/>
      <w:szCs w:val="18"/>
    </w:rPr>
  </w:style>
  <w:style w:type="paragraph" w:styleId="28">
    <w:name w:val="footer"/>
    <w:basedOn w:val="1"/>
    <w:link w:val="163"/>
    <w:unhideWhenUsed/>
    <w:qFormat/>
    <w:uiPriority w:val="0"/>
    <w:pPr>
      <w:tabs>
        <w:tab w:val="center" w:pos="4153"/>
        <w:tab w:val="right" w:pos="8306"/>
      </w:tabs>
      <w:snapToGrid w:val="0"/>
      <w:jc w:val="left"/>
    </w:pPr>
    <w:rPr>
      <w:kern w:val="0"/>
      <w:sz w:val="18"/>
      <w:szCs w:val="18"/>
    </w:rPr>
  </w:style>
  <w:style w:type="paragraph" w:styleId="29">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style>
  <w:style w:type="paragraph" w:styleId="32">
    <w:name w:val="toc 4"/>
    <w:basedOn w:val="1"/>
    <w:next w:val="1"/>
    <w:qFormat/>
    <w:uiPriority w:val="0"/>
    <w:pPr>
      <w:ind w:left="1260" w:leftChars="600"/>
    </w:pPr>
    <w:rPr>
      <w:szCs w:val="21"/>
    </w:rPr>
  </w:style>
  <w:style w:type="paragraph" w:styleId="33">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spacing w:line="240" w:lineRule="exact"/>
      <w:jc w:val="center"/>
    </w:pPr>
    <w:rPr>
      <w:rFonts w:ascii="仿宋_GB2312" w:eastAsia="仿宋_GB231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08"/>
    <w:unhideWhenUsed/>
    <w:qFormat/>
    <w:uiPriority w:val="0"/>
    <w:pPr>
      <w:ind w:firstLine="600"/>
    </w:pPr>
    <w:rPr>
      <w:rFonts w:ascii="宋体" w:hAnsi="宋体"/>
      <w:kern w:val="0"/>
      <w:sz w:val="20"/>
      <w:szCs w:val="24"/>
    </w:rPr>
  </w:style>
  <w:style w:type="paragraph" w:styleId="37">
    <w:name w:val="toc 2"/>
    <w:basedOn w:val="1"/>
    <w:next w:val="1"/>
    <w:unhideWhenUsed/>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140"/>
    <w:qFormat/>
    <w:uiPriority w:val="0"/>
    <w:pPr>
      <w:spacing w:after="120" w:line="480" w:lineRule="auto"/>
    </w:p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qFormat/>
    <w:uiPriority w:val="0"/>
    <w:rPr>
      <w:szCs w:val="24"/>
    </w:rPr>
  </w:style>
  <w:style w:type="paragraph" w:styleId="43">
    <w:name w:val="Title"/>
    <w:basedOn w:val="1"/>
    <w:next w:val="1"/>
    <w:link w:val="167"/>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unhideWhenUsed/>
    <w:qFormat/>
    <w:uiPriority w:val="0"/>
    <w:rPr>
      <w:b/>
      <w:bCs/>
    </w:rPr>
  </w:style>
  <w:style w:type="paragraph" w:styleId="45">
    <w:name w:val="Body Text First Indent 2"/>
    <w:basedOn w:val="18"/>
    <w:qFormat/>
    <w:uiPriority w:val="0"/>
    <w:pPr>
      <w:tabs>
        <w:tab w:val="left" w:pos="765"/>
      </w:tabs>
      <w:ind w:firstLine="420" w:firstLineChars="200"/>
    </w:p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semiHidden/>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semiHidden/>
    <w:unhideWhenUsed/>
    <w:qFormat/>
    <w:uiPriority w:val="99"/>
    <w:rPr>
      <w:rFonts w:hint="default" w:ascii="Consolas" w:hAnsi="Consolas" w:eastAsia="Consolas" w:cs="Consolas"/>
      <w:sz w:val="21"/>
      <w:szCs w:val="21"/>
    </w:rPr>
  </w:style>
  <w:style w:type="character" w:customStyle="1" w:styleId="59">
    <w:name w:val="正文文本 Char"/>
    <w:link w:val="17"/>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5"/>
    <w:qFormat/>
    <w:uiPriority w:val="0"/>
    <w:rPr>
      <w:kern w:val="2"/>
      <w:sz w:val="21"/>
      <w:szCs w:val="22"/>
    </w:rPr>
  </w:style>
  <w:style w:type="character" w:customStyle="1" w:styleId="62">
    <w:name w:val="标题 6 Char"/>
    <w:link w:val="7"/>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3"/>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4"/>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7"/>
    <w:qFormat/>
    <w:uiPriority w:val="0"/>
    <w:rPr>
      <w:rFonts w:ascii="Calibri" w:hAnsi="Calibri" w:eastAsia="宋体" w:cs="Times New Roman"/>
      <w:sz w:val="18"/>
      <w:szCs w:val="18"/>
    </w:rPr>
  </w:style>
  <w:style w:type="character" w:customStyle="1" w:styleId="82">
    <w:name w:val="正文文本缩进 2 Char"/>
    <w:link w:val="26"/>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7"/>
    <w:link w:val="83"/>
    <w:qFormat/>
    <w:uiPriority w:val="0"/>
    <w:pPr>
      <w:spacing w:line="360" w:lineRule="auto"/>
    </w:pPr>
    <w:rPr>
      <w:rFonts w:ascii="宋体" w:cs="宋体"/>
      <w:color w:val="000000"/>
      <w:szCs w:val="24"/>
    </w:rPr>
  </w:style>
  <w:style w:type="character" w:customStyle="1" w:styleId="85">
    <w:name w:val="HTML 预设格式 Char"/>
    <w:link w:val="40"/>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2"/>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5"/>
    <w:qFormat/>
    <w:uiPriority w:val="0"/>
    <w:rPr>
      <w:rFonts w:ascii="Calibri" w:hAnsi="Calibri" w:eastAsia="宋体" w:cs="Times New Roman"/>
    </w:rPr>
  </w:style>
  <w:style w:type="character" w:customStyle="1" w:styleId="101">
    <w:name w:val="页眉 Char"/>
    <w:link w:val="30"/>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6"/>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8"/>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9"/>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2"/>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qFormat/>
    <w:uiPriority w:val="0"/>
    <w:rPr>
      <w:rFonts w:ascii="Cambria" w:hAnsi="Cambria" w:eastAsia="宋体" w:cs="Times New Roman"/>
      <w:b/>
      <w:bCs/>
      <w:sz w:val="32"/>
      <w:szCs w:val="32"/>
    </w:rPr>
  </w:style>
  <w:style w:type="character" w:customStyle="1" w:styleId="127">
    <w:name w:val="正文文本缩进 Char"/>
    <w:link w:val="18"/>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0"/>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4"/>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39"/>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4"/>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6"/>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6"/>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4"/>
    <w:link w:val="159"/>
    <w:qFormat/>
    <w:uiPriority w:val="0"/>
    <w:pPr>
      <w:spacing w:line="413" w:lineRule="auto"/>
    </w:pPr>
    <w:rPr>
      <w:rFonts w:ascii="Arial" w:hAnsi="Arial"/>
      <w:sz w:val="24"/>
    </w:rPr>
  </w:style>
  <w:style w:type="character" w:customStyle="1" w:styleId="161">
    <w:name w:val="标题 4 Char"/>
    <w:link w:val="5"/>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8"/>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3"/>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2"/>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2"/>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B252F-A430-4F2A-84F9-009333EFCF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1640</Words>
  <Characters>2081</Characters>
  <Lines>25</Lines>
  <Paragraphs>23</Paragraphs>
  <TotalTime>0</TotalTime>
  <ScaleCrop>false</ScaleCrop>
  <LinksUpToDate>false</LinksUpToDate>
  <CharactersWithSpaces>2209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2022-07-14T00:13:00Z</cp:lastPrinted>
  <dcterms:modified xsi:type="dcterms:W3CDTF">2022-12-13T06:46:44Z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5A0B6C5451C54A45BCB149C8FE8B41DB</vt:lpwstr>
  </property>
</Properties>
</file>